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Colorado Clean Affordable Electricity: 2026 Outline</w:t>
      </w: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Purpose and goals of the legislation</w:t>
      </w:r>
      <w:r w:rsidDel="00000000" w:rsidR="00000000" w:rsidRPr="00000000">
        <w:rPr>
          <w:rtl w:val="0"/>
        </w:rPr>
      </w:r>
    </w:p>
    <w:p w:rsidR="00000000" w:rsidDel="00000000" w:rsidP="00000000" w:rsidRDefault="00000000" w:rsidRPr="00000000" w14:paraId="00000004">
      <w:pPr>
        <w:ind w:firstLine="360"/>
        <w:rPr>
          <w:i w:val="1"/>
          <w:iCs w:val="1"/>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The state has established economy-wide climate targets and has already made substantial progress in reducing emissions from electric power generation, demonstrating that deep decarbonization of the electric sector can be achieved reliably and cost-effectively. Clean electricity is a foundational input to achieving emissions reductions across the broader economy, including transportation, buildings, and industry, and is essential to meeting long-term climate goals. Continued reductions in pollution from electricity generation also advance the goals of the Environmental Justice Act by improving air quality, reducing harmful health impacts in disproportionately affected communities, and delivering public health benefits that extend beyond the power sector.</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At the same time, the electric system is facing load growth, evolving federal policy uncertainty, and increasing concerns about energy affordability for customers. Modeling conducted for the Colorado Energy Office by Ascend </w:t>
      </w:r>
      <w:r w:rsidDel="00000000" w:rsidR="00000000" w:rsidRPr="00000000">
        <w:rPr>
          <w:rtl w:val="0"/>
        </w:rPr>
        <w:t xml:space="preserve">Analytics found</w:t>
      </w:r>
      <w:r w:rsidDel="00000000" w:rsidR="00000000" w:rsidRPr="00000000">
        <w:rPr>
          <w:rtl w:val="0"/>
        </w:rPr>
        <w:t xml:space="preserve"> that the lowest cost pathway to meeting projected energy demand in 2040 </w:t>
      </w:r>
      <w:r w:rsidDel="00000000" w:rsidR="00000000" w:rsidRPr="00000000">
        <w:rPr>
          <w:rtl w:val="0"/>
        </w:rPr>
        <w:t xml:space="preserve">achieved</w:t>
      </w:r>
      <w:r w:rsidDel="00000000" w:rsidR="00000000" w:rsidRPr="00000000">
        <w:rPr>
          <w:rtl w:val="0"/>
        </w:rPr>
        <w:t xml:space="preserve"> approximately 95% emissions reductions due to the lower cost of clean energy resources.This underscores the need for clear post-2030 planning guidance that maintains reliability, protects customers from unreasonable rate impacts, and provides utilities with a durable framework for investment decisions. Establishing a balanced, flexible approach to clean energy planning will help drive deployment of advanced clean energy technologies, sustain progress toward the state’s climate targets, and ensure the electric system can support continued economic growth and economy-wide decarbonization in a changing policy and market landscape.</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The proposed legislation includes the following components: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b w:val="1"/>
          <w:bCs w:val="1"/>
          <w:u w:val="single"/>
        </w:rPr>
      </w:pPr>
      <w:r w:rsidDel="00000000" w:rsidR="00000000" w:rsidRPr="00000000">
        <w:rPr>
          <w:b w:val="1"/>
          <w:bCs w:val="1"/>
          <w:u w:val="single"/>
          <w:rtl w:val="0"/>
        </w:rPr>
        <w:t xml:space="preserve">Utility plans to meet greenhouse gas emission reduction targets</w:t>
      </w:r>
    </w:p>
    <w:p w:rsidR="00000000" w:rsidDel="00000000" w:rsidP="00000000" w:rsidRDefault="00000000" w:rsidRPr="00000000" w14:paraId="0000000D">
      <w:pPr>
        <w:ind w:firstLine="360"/>
        <w:rPr>
          <w:i w:val="1"/>
          <w:iCs w:val="1"/>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Establishes post-2030 emission reduction targets for</w:t>
      </w:r>
      <w:r w:rsidDel="00000000" w:rsidR="00000000" w:rsidRPr="00000000">
        <w:rPr>
          <w:rtl w:val="0"/>
        </w:rPr>
        <w:t xml:space="preserve"> electric utilities (including investor-owned, wholesale, municipal, co-ops, and wholesale power marketers) </w:t>
      </w:r>
      <w:r w:rsidDel="00000000" w:rsidR="00000000" w:rsidRPr="00000000">
        <w:rPr>
          <w:rtl w:val="0"/>
        </w:rPr>
        <w:t xml:space="preserve">in Colorado and establishes the required procedures for utilities to file, and for the Public Utilities Commission </w:t>
      </w:r>
      <w:r w:rsidDel="00000000" w:rsidR="00000000" w:rsidRPr="00000000">
        <w:rPr>
          <w:i w:val="1"/>
          <w:iCs w:val="1"/>
          <w:rtl w:val="0"/>
        </w:rPr>
        <w:t xml:space="preserve">or</w:t>
      </w:r>
      <w:r w:rsidDel="00000000" w:rsidR="00000000" w:rsidRPr="00000000">
        <w:rPr>
          <w:rtl w:val="0"/>
        </w:rPr>
        <w:t xml:space="preserve"> the utility’s governing board to finalize, clean energy plans.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rtl w:val="0"/>
        </w:rPr>
        <w:t xml:space="preserve">Emissions reduction planning targets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Establishes </w:t>
      </w:r>
      <w:r w:rsidDel="00000000" w:rsidR="00000000" w:rsidRPr="00000000">
        <w:rPr>
          <w:rtl w:val="0"/>
        </w:rPr>
        <w:t xml:space="preserve">planning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targets for utilities to reduce their greenhouse gas emissions by 90% below 2005 levels by 20</w:t>
      </w:r>
      <w:r w:rsidDel="00000000" w:rsidR="00000000" w:rsidRPr="00000000">
        <w:rPr>
          <w:rtl w:val="0"/>
        </w:rPr>
        <w:t xml:space="preserve">35, 95% below 2005 levels by 2040, and 98% below 2005 levels by 2048. It also retains the aspirational goal of achieving net-zero emissions from the electric sector by 2050.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rtl w:val="0"/>
        </w:rPr>
        <w:t xml:space="preserve">Reliability and cost provisions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utility may propose (to the PUC or their governing board, as applicable) to delay when they achieve the </w:t>
      </w:r>
      <w:r w:rsidDel="00000000" w:rsidR="00000000" w:rsidRPr="00000000">
        <w:rPr>
          <w:rtl w:val="0"/>
        </w:rPr>
        <w:t xml:space="preserve">90%, 95%, and 98%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emission reduction targets if: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hat is necessary to comply with electric system reliability standards or relevan</w:t>
      </w:r>
      <w:r w:rsidDel="00000000" w:rsidR="00000000" w:rsidRPr="00000000">
        <w:rPr>
          <w:rtl w:val="0"/>
        </w:rPr>
        <w:t xml:space="preserve">t utility reliability metrics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 incremental cost of meeting the targets is higher than an aver</w:t>
      </w:r>
      <w:r w:rsidDel="00000000" w:rsidR="00000000" w:rsidRPr="00000000">
        <w:rPr>
          <w:rtl w:val="0"/>
        </w:rPr>
        <w:t xml:space="preserve">age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annual impact of 1.5% o</w:t>
      </w:r>
      <w:r w:rsidDel="00000000" w:rsidR="00000000" w:rsidRPr="00000000">
        <w:rPr>
          <w:rtl w:val="0"/>
        </w:rPr>
        <w:t xml:space="preserve">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electricity rates</w:t>
      </w:r>
      <w:r w:rsidDel="00000000" w:rsidR="00000000" w:rsidRPr="00000000">
        <w:rPr>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rtl w:val="0"/>
        </w:rPr>
        <w:t xml:space="preserve">Target flexibility for reliability and cost – </w:t>
      </w:r>
      <w:r w:rsidDel="00000000" w:rsidR="00000000" w:rsidRPr="00000000">
        <w:rPr>
          <w:rtl w:val="0"/>
        </w:rPr>
        <w:t xml:space="preserve">If a utility delays a target, the utility must present a plan (to the Public Utilities Commission or its board, as applicable) to:</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Maximize cumulative emissions reductions during the delay period, and</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Achieve the target in the earliest year the utility demonstrates is feasible, consistent with the cost cap and reliability standards.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i w:val="0"/>
          <w:iCs w:val="0"/>
          <w:smallCaps w:val="0"/>
          <w:strike w:val="0"/>
          <w:color w:val="000000"/>
          <w:sz w:val="22"/>
          <w:szCs w:val="22"/>
          <w:u w:val="none"/>
          <w:shd w:fill="auto" w:val="clear"/>
          <w:vertAlign w:val="baseline"/>
          <w:rtl w:val="0"/>
        </w:rPr>
        <w:t xml:space="preserve">Emission reduction verification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The Air Pollution Control Division</w:t>
      </w:r>
      <w:r w:rsidDel="00000000" w:rsidR="00000000" w:rsidRPr="00000000">
        <w:rPr>
          <w:rtl w:val="0"/>
        </w:rPr>
        <w:t xml:space="preserve"> shall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verify the anticipated emission reductions in the utility’s approved plan and the utility</w:t>
      </w:r>
      <w:r w:rsidDel="00000000" w:rsidR="00000000" w:rsidRPr="00000000">
        <w:rPr>
          <w:rtl w:val="0"/>
        </w:rPr>
        <w:t xml:space="preserve"> shall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retire any renewable energy credits associated with meeting its plan.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i w:val="0"/>
          <w:iCs w:val="0"/>
          <w:smallCaps w:val="0"/>
          <w:strike w:val="0"/>
          <w:color w:val="000000"/>
          <w:sz w:val="22"/>
          <w:szCs w:val="22"/>
          <w:u w:val="none"/>
          <w:shd w:fill="auto" w:val="clear"/>
          <w:vertAlign w:val="baseline"/>
          <w:rtl w:val="0"/>
        </w:rPr>
        <w:t xml:space="preserve">Approval of Plans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PUC-regulated utilities, sets requirements for the Public Utilities Commission (PUC) to approve the utility’s plan</w:t>
      </w:r>
      <w:r w:rsidDel="00000000" w:rsidR="00000000" w:rsidRPr="00000000">
        <w:rPr>
          <w:rtl w:val="0"/>
        </w:rPr>
        <w:t xml:space="preserve">:</w:t>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evaluating the plan, the PUC must consider factors such as reductions in greenhouse gas emissions and other air pollutants and environmental and health benefits, especially to Disproportionately Impacted Communities.</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Non-</w:t>
      </w:r>
      <w:r w:rsidDel="00000000" w:rsidR="00000000" w:rsidRPr="00000000">
        <w:rPr>
          <w:rtl w:val="0"/>
        </w:rPr>
        <w:t xml:space="preserve">PUC-regulated utilities or wholesale providers retain approval authority with their governing boards, who remain the sole approvers of clean energy plans. The state does not gain new authority over those utilities’ plans in this bill.</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Subject to additional discussion, </w:t>
      </w:r>
      <w:r w:rsidDel="00000000" w:rsidR="00000000" w:rsidRPr="00000000">
        <w:rPr>
          <w:rtl w:val="0"/>
        </w:rPr>
        <w:t xml:space="preserve">n</w:t>
      </w:r>
      <w:r w:rsidDel="00000000" w:rsidR="00000000" w:rsidRPr="00000000">
        <w:rPr>
          <w:rtl w:val="0"/>
        </w:rPr>
        <w:t xml:space="preserve">on-PUC-</w:t>
      </w:r>
      <w:r w:rsidDel="00000000" w:rsidR="00000000" w:rsidRPr="00000000">
        <w:rPr>
          <w:rtl w:val="0"/>
        </w:rPr>
        <w:t xml:space="preserve">regulated</w:t>
      </w:r>
      <w:r w:rsidDel="00000000" w:rsidR="00000000" w:rsidRPr="00000000">
        <w:rPr>
          <w:rtl w:val="0"/>
        </w:rPr>
        <w:t xml:space="preserve"> utility plans that do not meet CEP planning targets because of a consumer protection </w:t>
      </w:r>
      <w:r w:rsidDel="00000000" w:rsidR="00000000" w:rsidRPr="00000000">
        <w:rPr>
          <w:rtl w:val="0"/>
        </w:rPr>
        <w:t xml:space="preserve">guardrail,</w:t>
      </w:r>
      <w:r w:rsidDel="00000000" w:rsidR="00000000" w:rsidRPr="00000000">
        <w:rPr>
          <w:rtl w:val="0"/>
        </w:rPr>
        <w:t xml:space="preserve"> will be reviewed by an independent third party, but ultimate approval authority remains with the relevant governing board.</w:t>
      </w:r>
      <w:r w:rsidDel="00000000" w:rsidR="00000000" w:rsidRPr="00000000">
        <w:rPr>
          <w:rtl w:val="0"/>
        </w:rPr>
        <w:t xml:space="preserve">The third-party analysis provides information to the public and utility governing body, but authority to approve or deny the plan ultimately still resides with the governing body.</w:t>
      </w: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jc w:val="center"/>
        <w:rPr>
          <w:b w:val="1"/>
          <w:bCs w:val="1"/>
          <w:u w:val="single"/>
        </w:rPr>
      </w:pPr>
      <w:r w:rsidDel="00000000" w:rsidR="00000000" w:rsidRPr="00000000">
        <w:rPr>
          <w:b w:val="1"/>
          <w:bCs w:val="1"/>
          <w:u w:val="single"/>
          <w:rtl w:val="0"/>
        </w:rPr>
        <w:t xml:space="preserve">Addressing New Large Customers</w:t>
      </w:r>
      <w:r w:rsidDel="00000000" w:rsidR="00000000" w:rsidRPr="00000000">
        <w:rPr>
          <w:rtl w:val="0"/>
        </w:rPr>
      </w:r>
    </w:p>
    <w:p w:rsidR="00000000" w:rsidDel="00000000" w:rsidP="00000000" w:rsidRDefault="00000000" w:rsidRPr="00000000" w14:paraId="00000023">
      <w:pPr>
        <w:ind w:firstLine="360"/>
        <w:rPr>
          <w:i w:val="1"/>
          <w:iCs w:val="1"/>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t xml:space="preserve">Directs the Public Utilities Commission to address issues related to new large electric loads, like data centers.</w:t>
      </w:r>
    </w:p>
    <w:p w:rsidR="00000000" w:rsidDel="00000000" w:rsidP="00000000" w:rsidRDefault="00000000" w:rsidRPr="00000000" w14:paraId="00000025">
      <w:pPr>
        <w:ind w:firstLine="360"/>
        <w:rPr>
          <w:i w:val="1"/>
          <w:iCs w:val="1"/>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rtl w:val="0"/>
        </w:rPr>
        <w:t xml:space="preserve">Interim consideration –</w:t>
      </w:r>
      <w:r w:rsidDel="00000000" w:rsidR="00000000" w:rsidRPr="00000000">
        <w:rPr>
          <w:rtl w:val="0"/>
        </w:rPr>
        <w:t xml:space="preserve"> Prior to issuing the rule 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equire</w:t>
      </w:r>
      <w:r w:rsidDel="00000000" w:rsidR="00000000" w:rsidRPr="00000000">
        <w:rPr>
          <w:rtl w:val="0"/>
        </w:rPr>
        <w:t xml:space="preserv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by the legislation (below)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Public Utilities Commission is directed to take into consideration, in electric resource plan proceedings and other relevant proceedings, factors related to new large loads, such as: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preventing other types of customers from subsidizing new large electric customers;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impact of new large loads on meeting utility emission reduction targets; and</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potential for zero-emission resources to serve new large electric loads.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Commission must strive to: </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avoid any cost shifting to other customers of any new infrastructure costs to interconnect and serve new large customers, </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avoid any risk of delays in interconnecting other new loads, and </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promote serving new large customer customers with zero-emission resources while reducing the risk to other customers through cost containment.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approving a resource plan that contains electric generation resources to serve a new large customer, the commission must work to ensure that other customers do not subsidize new large customers.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rtl w:val="0"/>
        </w:rPr>
        <w:t xml:space="preserve">Rulemaking –</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Public Utilities Commission is required to issue final rules to address issues related to new large loads</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by June 2027.</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In issuing the rules, the Commission must consider the same goals and factors as detailed above.</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jc w:val="center"/>
        <w:rPr>
          <w:b w:val="1"/>
          <w:bCs w:val="1"/>
          <w:u w:val="single"/>
        </w:rPr>
      </w:pPr>
      <w:r w:rsidDel="00000000" w:rsidR="00000000" w:rsidRPr="00000000">
        <w:rPr>
          <w:b w:val="1"/>
          <w:bCs w:val="1"/>
          <w:u w:val="single"/>
          <w:rtl w:val="0"/>
        </w:rPr>
        <w:t xml:space="preserve">Verification of greenhouse gas emissions</w:t>
      </w:r>
      <w:r w:rsidDel="00000000" w:rsidR="00000000" w:rsidRPr="00000000">
        <w:rPr>
          <w:b w:val="1"/>
          <w:bCs w:val="1"/>
          <w:u w:val="single"/>
          <w:rtl w:val="0"/>
        </w:rPr>
        <w:t xml:space="preserve"> reductions in a CEP</w:t>
      </w:r>
    </w:p>
    <w:p w:rsidR="00000000" w:rsidDel="00000000" w:rsidP="00000000" w:rsidRDefault="00000000" w:rsidRPr="00000000" w14:paraId="00000034">
      <w:pPr>
        <w:ind w:firstLine="360"/>
        <w:rPr>
          <w:i w:val="1"/>
          <w:iCs w:val="1"/>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t xml:space="preserve">The bill would apply the existing </w:t>
      </w:r>
      <w:r w:rsidDel="00000000" w:rsidR="00000000" w:rsidRPr="00000000">
        <w:rPr>
          <w:rtl w:val="0"/>
        </w:rPr>
        <w:t xml:space="preserve">requirements in state law for APCD and AQCC oversight of 2030 CEPs, including emissions accounting, reporting, and verification of CEPs to post-2030 CEPs. It also requires the state to track sector-wide progress on emission reductions; strengthens guardrails for any potential future cross-sector crediting in greenhouse gas regulations.</w:t>
      </w:r>
    </w:p>
    <w:p w:rsidR="00000000" w:rsidDel="00000000" w:rsidP="00000000" w:rsidRDefault="00000000" w:rsidRPr="00000000" w14:paraId="00000036">
      <w:pPr>
        <w:ind w:firstLine="360"/>
        <w:rPr>
          <w:i w:val="1"/>
          <w:iCs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i w:val="0"/>
          <w:iCs w:val="0"/>
          <w:smallCaps w:val="0"/>
          <w:strike w:val="0"/>
          <w:color w:val="000000"/>
          <w:sz w:val="22"/>
          <w:szCs w:val="22"/>
          <w:u w:val="none"/>
          <w:shd w:fill="auto" w:val="clear"/>
          <w:vertAlign w:val="baseline"/>
          <w:rtl w:val="0"/>
        </w:rPr>
        <w:t xml:space="preserve">General verification provisions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Retains and updates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emissions verification and accounting requirements for cooperative electric associations, municipal electric utilities, and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wholesale power marketers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i w:val="0"/>
          <w:iCs w:val="0"/>
          <w:smallCaps w:val="0"/>
          <w:strike w:val="0"/>
          <w:color w:val="000000"/>
          <w:sz w:val="22"/>
          <w:szCs w:val="22"/>
          <w:u w:val="none"/>
          <w:shd w:fill="auto" w:val="clear"/>
          <w:vertAlign w:val="baseline"/>
          <w:rtl w:val="0"/>
        </w:rPr>
        <w:t xml:space="preserve">Preventing double counting in commission rules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Prohibits the Air Quality Control Commission (AQCC) from allowing cross-sector emission compliance credit involving electric utilities, unless the AQCC first adopts regulations that limit emissions from all regulated sources and the program is consistent with Environmental Justice Act requirements</w:t>
      </w:r>
      <w:r w:rsidDel="00000000" w:rsidR="00000000" w:rsidRPr="00000000">
        <w:rPr>
          <w:rtl w:val="0"/>
        </w:rPr>
        <w:t xml:space="preserve">, in order to avoid double counting of emission reductions.</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i w:val="0"/>
          <w:iCs w:val="0"/>
          <w:smallCaps w:val="0"/>
          <w:strike w:val="0"/>
          <w:color w:val="000000"/>
          <w:sz w:val="22"/>
          <w:szCs w:val="22"/>
          <w:u w:val="none"/>
          <w:shd w:fill="auto" w:val="clear"/>
          <w:vertAlign w:val="baseline"/>
          <w:rtl w:val="0"/>
        </w:rPr>
        <w:t xml:space="preserve">Sector-wide progress review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Requires the Air Pollution Control Division to determine whether clean energy plans put the electric sector, as a whole, on track to reduce emissions </w:t>
      </w:r>
      <w:r w:rsidDel="00000000" w:rsidR="00000000" w:rsidRPr="00000000">
        <w:rPr>
          <w:rtl w:val="0"/>
        </w:rPr>
        <w:t xml:space="preserve">in line with the established targets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i w:val="0"/>
          <w:iCs w:val="0"/>
          <w:smallCaps w:val="0"/>
          <w:strike w:val="0"/>
          <w:color w:val="000000"/>
          <w:sz w:val="22"/>
          <w:szCs w:val="22"/>
          <w:u w:val="none"/>
          <w:shd w:fill="auto" w:val="clear"/>
          <w:vertAlign w:val="baseline"/>
          <w:rtl w:val="0"/>
        </w:rPr>
        <w:t xml:space="preserve">Division evaluation of utility-specific progress</w:t>
      </w:r>
      <w:r w:rsidDel="00000000" w:rsidR="00000000" w:rsidRPr="00000000">
        <w:rPr>
          <w:b w:val="1"/>
          <w:bCs w:val="1"/>
          <w:rtl w:val="0"/>
        </w:rPr>
        <w:t xml:space="preserve"> and</w:t>
      </w:r>
      <w:r w:rsidDel="00000000" w:rsidR="00000000" w:rsidRPr="00000000">
        <w:rPr>
          <w:b w:val="1"/>
          <w:bCs w:val="1"/>
          <w:i w:val="0"/>
          <w:iCs w:val="0"/>
          <w:smallCaps w:val="0"/>
          <w:strike w:val="0"/>
          <w:color w:val="000000"/>
          <w:sz w:val="22"/>
          <w:szCs w:val="22"/>
          <w:u w:val="none"/>
          <w:shd w:fill="auto" w:val="clear"/>
          <w:vertAlign w:val="baseline"/>
          <w:rtl w:val="0"/>
        </w:rPr>
        <w:t xml:space="preserve"> </w:t>
      </w:r>
      <w:r w:rsidDel="00000000" w:rsidR="00000000" w:rsidRPr="00000000">
        <w:rPr>
          <w:b w:val="1"/>
          <w:bCs w:val="1"/>
          <w:rtl w:val="0"/>
        </w:rPr>
        <w:t xml:space="preserve">u</w:t>
      </w:r>
      <w:r w:rsidDel="00000000" w:rsidR="00000000" w:rsidRPr="00000000">
        <w:rPr>
          <w:b w:val="1"/>
          <w:bCs w:val="1"/>
          <w:i w:val="0"/>
          <w:iCs w:val="0"/>
          <w:smallCaps w:val="0"/>
          <w:strike w:val="0"/>
          <w:color w:val="000000"/>
          <w:sz w:val="22"/>
          <w:szCs w:val="22"/>
          <w:u w:val="none"/>
          <w:shd w:fill="auto" w:val="clear"/>
          <w:vertAlign w:val="baseline"/>
          <w:rtl w:val="0"/>
        </w:rPr>
        <w:t xml:space="preserve">pdates to</w:t>
      </w:r>
      <w:r w:rsidDel="00000000" w:rsidR="00000000" w:rsidRPr="00000000">
        <w:rPr>
          <w:b w:val="1"/>
          <w:bCs w:val="1"/>
          <w:rtl w:val="0"/>
        </w:rPr>
        <w:t xml:space="preserve"> </w:t>
      </w:r>
      <w:r w:rsidDel="00000000" w:rsidR="00000000" w:rsidRPr="00000000">
        <w:rPr>
          <w:b w:val="1"/>
          <w:bCs w:val="1"/>
          <w:i w:val="0"/>
          <w:iCs w:val="0"/>
          <w:smallCaps w:val="0"/>
          <w:strike w:val="0"/>
          <w:color w:val="000000"/>
          <w:sz w:val="22"/>
          <w:szCs w:val="22"/>
          <w:u w:val="none"/>
          <w:shd w:fill="auto" w:val="clear"/>
          <w:vertAlign w:val="baseline"/>
          <w:rtl w:val="0"/>
        </w:rPr>
        <w:t xml:space="preserve">clean energy plans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Requires the Air Pollution Control Division to evaluate, annually, whether covered utilities that are not regulated </w:t>
      </w:r>
      <w:r w:rsidDel="00000000" w:rsidR="00000000" w:rsidRPr="00000000">
        <w:rPr>
          <w:rtl w:val="0"/>
        </w:rPr>
        <w:t xml:space="preserve">by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PU</w:t>
      </w:r>
      <w:r w:rsidDel="00000000" w:rsidR="00000000" w:rsidRPr="00000000">
        <w:rPr>
          <w:rtl w:val="0"/>
        </w:rPr>
        <w:t xml:space="preserve">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making the progress on emission reductions that was expected in those entities’ clean energy plans. If the utility is not progressing as planned, </w:t>
      </w:r>
      <w:r w:rsidDel="00000000" w:rsidR="00000000" w:rsidRPr="00000000">
        <w:rPr>
          <w:rtl w:val="0"/>
        </w:rPr>
        <w:t xml:space="preserve">the division must include this information in the next greenhouse gas progress briefing and, within 9 months, must file a petition for a rulemaking to consider adopting a rule that would require a utility to file an updated CEP.</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i w:val="0"/>
          <w:iCs w:val="0"/>
          <w:smallCaps w:val="0"/>
          <w:strike w:val="0"/>
          <w:color w:val="000000"/>
          <w:sz w:val="22"/>
          <w:szCs w:val="22"/>
          <w:u w:val="none"/>
          <w:shd w:fill="auto" w:val="clear"/>
          <w:vertAlign w:val="baseline"/>
          <w:rtl w:val="0"/>
        </w:rPr>
        <w:t xml:space="preserve">Division evaluation of utility-specific progress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Provides an additional progress-check for the Air Pollution Control Division to evaluate whether covered utilities are making the necessary progress on implementing their clean energy plans.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i w:val="0"/>
          <w:iCs w:val="0"/>
          <w:smallCaps w:val="0"/>
          <w:strike w:val="0"/>
          <w:color w:val="000000"/>
          <w:sz w:val="22"/>
          <w:szCs w:val="22"/>
          <w:u w:val="none"/>
          <w:shd w:fill="auto" w:val="clear"/>
          <w:vertAlign w:val="baseline"/>
          <w:rtl w:val="0"/>
        </w:rPr>
        <w:t xml:space="preserve">Preventing dual compliance obligations if the Air Quality Control Commission adopts a rule on emissions that cover the electric power sector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Provides a pathway for utilities to meet the</w:t>
      </w:r>
      <w:r w:rsidDel="00000000" w:rsidR="00000000" w:rsidRPr="00000000">
        <w:rPr>
          <w:rtl w:val="0"/>
        </w:rPr>
        <w:t xml:space="preserve"> established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emission reduction requirements via direct air regulation by the Air Quality Control Commission rather than via clean energy plans. If a utility is regulated under an Air Quality Control Commission rule that </w:t>
      </w:r>
      <w:r w:rsidDel="00000000" w:rsidR="00000000" w:rsidRPr="00000000">
        <w:rPr>
          <w:rtl w:val="0"/>
        </w:rPr>
        <w:t xml:space="preserve">caps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pollution from the electric sector or from multiple sectors, the utility </w:t>
      </w:r>
      <w:r w:rsidDel="00000000" w:rsidR="00000000" w:rsidRPr="00000000">
        <w:rPr>
          <w:rtl w:val="0"/>
        </w:rPr>
        <w:t xml:space="preserve">is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 required to file additional clean energy plans.</w:t>
      </w:r>
      <w:r w:rsidDel="00000000" w:rsidR="00000000" w:rsidRPr="00000000">
        <w:rPr>
          <w:rtl w:val="0"/>
        </w:rPr>
      </w:r>
    </w:p>
    <w:p w:rsidR="00000000" w:rsidDel="00000000" w:rsidP="00000000" w:rsidRDefault="00000000" w:rsidRPr="00000000" w14:paraId="00000042">
      <w:pPr>
        <w:jc w:val="center"/>
        <w:rPr>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43">
      <w:pPr>
        <w:jc w:val="center"/>
        <w:rPr>
          <w:b w:val="1"/>
          <w:bCs w:val="1"/>
          <w:u w:val="single"/>
        </w:rPr>
      </w:pPr>
      <w:r w:rsidDel="00000000" w:rsidR="00000000" w:rsidRPr="00000000">
        <w:rPr>
          <w:b w:val="1"/>
          <w:bCs w:val="1"/>
          <w:u w:val="single"/>
          <w:rtl w:val="0"/>
        </w:rPr>
        <w:t xml:space="preserve">Advanced Energy Technologies</w:t>
      </w:r>
    </w:p>
    <w:p w:rsidR="00000000" w:rsidDel="00000000" w:rsidP="00000000" w:rsidRDefault="00000000" w:rsidRPr="00000000" w14:paraId="00000044">
      <w:pPr>
        <w:ind w:firstLine="360"/>
        <w:rPr>
          <w:i w:val="1"/>
          <w:iCs w:val="1"/>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t xml:space="preserve">Requires investor-owned electric utilities to model, and the Public Utilities Commission to consider, advanced energy technologies in future electric resource plans. Advanced energy technologies are resources (other than wind, solar, and short-duration battery storage) that provide dispatchable power and do not emit greenhouse gases to the atmosphere.</w:t>
      </w:r>
    </w:p>
    <w:p w:rsidR="00000000" w:rsidDel="00000000" w:rsidP="00000000" w:rsidRDefault="00000000" w:rsidRPr="00000000" w14:paraId="00000046">
      <w:pPr>
        <w:numPr>
          <w:ilvl w:val="0"/>
          <w:numId w:val="4"/>
        </w:numPr>
        <w:ind w:left="720" w:hanging="360"/>
        <w:rPr/>
      </w:pPr>
      <w:r w:rsidDel="00000000" w:rsidR="00000000" w:rsidRPr="00000000">
        <w:rPr>
          <w:b w:val="1"/>
          <w:bCs w:val="1"/>
          <w:rtl w:val="0"/>
        </w:rPr>
        <w:t xml:space="preserve">Inclusion of Advanced Energy Technologies in Utility Electric Resource Plans –</w:t>
      </w:r>
      <w:r w:rsidDel="00000000" w:rsidR="00000000" w:rsidRPr="00000000">
        <w:rPr>
          <w:rtl w:val="0"/>
        </w:rPr>
        <w:t xml:space="preserve"> Requires utilities to model advanced energy technologies in future electric resource plans or clean energy plans.</w:t>
      </w:r>
    </w:p>
    <w:p w:rsidR="00000000" w:rsidDel="00000000" w:rsidP="00000000" w:rsidRDefault="00000000" w:rsidRPr="00000000" w14:paraId="00000047">
      <w:pPr>
        <w:ind w:left="720" w:firstLine="0"/>
        <w:rPr/>
      </w:pPr>
      <w:r w:rsidDel="00000000" w:rsidR="00000000" w:rsidRPr="00000000">
        <w:rPr>
          <w:rtl w:val="0"/>
        </w:rPr>
      </w:r>
    </w:p>
    <w:p w:rsidR="00000000" w:rsidDel="00000000" w:rsidP="00000000" w:rsidRDefault="00000000" w:rsidRPr="00000000" w14:paraId="00000048">
      <w:pPr>
        <w:numPr>
          <w:ilvl w:val="0"/>
          <w:numId w:val="4"/>
        </w:numPr>
        <w:ind w:left="720" w:hanging="360"/>
        <w:rPr/>
      </w:pPr>
      <w:r w:rsidDel="00000000" w:rsidR="00000000" w:rsidRPr="00000000">
        <w:rPr>
          <w:b w:val="1"/>
          <w:bCs w:val="1"/>
          <w:rtl w:val="0"/>
        </w:rPr>
        <w:t xml:space="preserve">Commission Consideration of Advanced Energy Technologies – </w:t>
      </w:r>
      <w:r w:rsidDel="00000000" w:rsidR="00000000" w:rsidRPr="00000000">
        <w:rPr>
          <w:rtl w:val="0"/>
        </w:rPr>
        <w:t xml:space="preserve">Directs the Public Utilities Commission to determine whether a utility can solicit bids for advanced energy technologies in future electric resource plan proceedings.</w:t>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numPr>
          <w:ilvl w:val="0"/>
          <w:numId w:val="4"/>
        </w:numPr>
        <w:ind w:left="720" w:hanging="360"/>
        <w:rPr/>
      </w:pPr>
      <w:r w:rsidDel="00000000" w:rsidR="00000000" w:rsidRPr="00000000">
        <w:rPr>
          <w:b w:val="1"/>
          <w:bCs w:val="1"/>
          <w:rtl w:val="0"/>
        </w:rPr>
        <w:t xml:space="preserve">Commission Approval and Cost Recovery for Advanced Energy Technologies – </w:t>
      </w:r>
      <w:r w:rsidDel="00000000" w:rsidR="00000000" w:rsidRPr="00000000">
        <w:rPr>
          <w:rtl w:val="0"/>
        </w:rPr>
        <w:t xml:space="preserve">Includes customer protections for costs associated with advanced energy technologies, while establishing </w:t>
      </w:r>
      <w:r w:rsidDel="00000000" w:rsidR="00000000" w:rsidRPr="00000000">
        <w:rPr>
          <w:rtl w:val="0"/>
        </w:rPr>
        <w:t xml:space="preserve">procedures for the Public Utilities Commission to consider allowing utilities to recover costs of advanced energy technology development.</w:t>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jc w:val="center"/>
        <w:rPr>
          <w:b w:val="1"/>
          <w:bCs w:val="1"/>
          <w:u w:val="single"/>
        </w:rPr>
      </w:pPr>
      <w:r w:rsidDel="00000000" w:rsidR="00000000" w:rsidRPr="00000000">
        <w:rPr>
          <w:b w:val="1"/>
          <w:bCs w:val="1"/>
          <w:u w:val="single"/>
          <w:rtl w:val="0"/>
        </w:rPr>
        <w:t xml:space="preserve">Coordinating Resource Planning and Transmission Planning</w:t>
      </w:r>
    </w:p>
    <w:p w:rsidR="00000000" w:rsidDel="00000000" w:rsidP="00000000" w:rsidRDefault="00000000" w:rsidRPr="00000000" w14:paraId="0000004E">
      <w:pPr>
        <w:ind w:firstLine="360"/>
        <w:rPr>
          <w:i w:val="1"/>
          <w:iCs w:val="1"/>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rtl w:val="0"/>
        </w:rPr>
        <w:t xml:space="preserve">The bill recognizes the i</w:t>
      </w:r>
      <w:r w:rsidDel="00000000" w:rsidR="00000000" w:rsidRPr="00000000">
        <w:rPr>
          <w:rtl w:val="0"/>
        </w:rPr>
        <w:t xml:space="preserve">mportance of a robust electric transmission system, better coordinated transmission and electric resource planning, and improved state-wide transmission planning to support Colorado’s economy and climate targets. It would require investor-owned electric utilities to align their resource planning process with the transmission planning process.</w:t>
      </w:r>
    </w:p>
    <w:p w:rsidR="00000000" w:rsidDel="00000000" w:rsidP="00000000" w:rsidRDefault="00000000" w:rsidRPr="00000000" w14:paraId="00000050">
      <w:pPr>
        <w:ind w:left="0" w:firstLine="0"/>
        <w:rPr>
          <w:i w:val="1"/>
          <w:iCs w:val="1"/>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rtl w:val="0"/>
        </w:rPr>
        <w:t xml:space="preserve">Phase I Transmission Plans</w:t>
      </w:r>
      <w:r w:rsidDel="00000000" w:rsidR="00000000" w:rsidRPr="00000000">
        <w:rPr>
          <w:b w:val="1"/>
          <w:bCs w:val="1"/>
          <w:i w:val="0"/>
          <w:iCs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Requires investor-owned electric utilities to include a </w:t>
      </w:r>
      <w:r w:rsidDel="00000000" w:rsidR="00000000" w:rsidRPr="00000000">
        <w:rPr>
          <w:rtl w:val="0"/>
        </w:rPr>
        <w:t xml:space="preserve">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ransmission </w:t>
      </w:r>
      <w:r w:rsidDel="00000000" w:rsidR="00000000" w:rsidRPr="00000000">
        <w:rPr>
          <w:rtl w:val="0"/>
        </w:rPr>
        <w:t xml:space="preserve">Report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 a clean energy </w:t>
      </w:r>
      <w:r w:rsidDel="00000000" w:rsidR="00000000" w:rsidRPr="00000000">
        <w:rPr>
          <w:rtl w:val="0"/>
        </w:rPr>
        <w:t xml:space="preserve">plan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demonstra</w:t>
      </w:r>
      <w:r w:rsidDel="00000000" w:rsidR="00000000" w:rsidRPr="00000000">
        <w:rPr>
          <w:rtl w:val="0"/>
        </w:rPr>
        <w:t xml:space="preserve">tes if the utility will need additional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transmission to bring on new resources to meet emission reduction targets.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i w:val="0"/>
          <w:iCs w:val="0"/>
          <w:smallCaps w:val="0"/>
          <w:strike w:val="0"/>
          <w:color w:val="000000"/>
          <w:sz w:val="22"/>
          <w:szCs w:val="22"/>
          <w:u w:val="none"/>
          <w:shd w:fill="auto" w:val="clear"/>
          <w:vertAlign w:val="baseline"/>
          <w:rtl w:val="0"/>
        </w:rPr>
        <w:t xml:space="preserve">Phase II Transmission Plans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Requires covered utilities to include a report that presents, to the extent feasible, the costs of transmission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infrastructure needs associated with the port</w:t>
      </w:r>
      <w:r w:rsidDel="00000000" w:rsidR="00000000" w:rsidRPr="00000000">
        <w:rPr>
          <w:rtl w:val="0"/>
        </w:rPr>
        <w:t xml:space="preserve">folios of generating resources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including the potential for grid-enhancing technologies and alternative transmission technologies.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i w:val="0"/>
          <w:iCs w:val="0"/>
          <w:smallCaps w:val="0"/>
          <w:strike w:val="0"/>
          <w:color w:val="000000"/>
          <w:sz w:val="22"/>
          <w:szCs w:val="22"/>
          <w:u w:val="none"/>
          <w:shd w:fill="auto" w:val="clear"/>
          <w:vertAlign w:val="baseline"/>
          <w:rtl w:val="0"/>
        </w:rPr>
        <w:t xml:space="preserve">Commission Approval and Regulatory Matters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Sets provisions </w:t>
      </w:r>
      <w:r w:rsidDel="00000000" w:rsidR="00000000" w:rsidRPr="00000000">
        <w:rPr>
          <w:rtl w:val="0"/>
        </w:rPr>
        <w:t xml:space="preserve">outlining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Public Utilities Commission</w:t>
      </w:r>
      <w:r w:rsidDel="00000000" w:rsidR="00000000" w:rsidRPr="00000000">
        <w:rPr>
          <w:rtl w:val="0"/>
        </w:rPr>
        <w:t xml:space="preserve">’s discretion and obligations related to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utility transmission plans presented within a</w:t>
      </w:r>
      <w:r w:rsidDel="00000000" w:rsidR="00000000" w:rsidRPr="00000000">
        <w:rPr>
          <w:rtl w:val="0"/>
        </w:rPr>
        <w:t xml:space="preserve">n electric resource plan,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utility’s ability to recover the costs of transmission investments from customers.</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jc w:val="center"/>
      <w:rPr>
        <w:i w:val="1"/>
        <w:iCs w:val="1"/>
        <w:color w:val="999999"/>
      </w:rPr>
    </w:pPr>
    <w:r w:rsidDel="00000000" w:rsidR="00000000" w:rsidRPr="00000000">
      <w:rPr>
        <w:i w:val="1"/>
        <w:iCs w:val="1"/>
        <w:color w:val="999999"/>
        <w:rtl w:val="0"/>
      </w:rPr>
      <w:t xml:space="preserve">2026 bill concept outline as of January 2026</w:t>
    </w:r>
  </w:p>
  <w:p w:rsidR="00000000" w:rsidDel="00000000" w:rsidP="00000000" w:rsidRDefault="00000000" w:rsidRPr="00000000" w14:paraId="00000057">
    <w:pPr>
      <w:jc w:val="right"/>
      <w:rPr>
        <w:i w:val="1"/>
        <w:iCs w:val="1"/>
      </w:rPr>
    </w:pPr>
    <w:r w:rsidDel="00000000" w:rsidR="00000000" w:rsidRPr="00000000">
      <w:rPr>
        <w:i w:val="1"/>
        <w:iCs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b w:val="1"/>
      <w:bCs w:val="1"/>
      <w:sz w:val="32"/>
      <w:szCs w:val="32"/>
    </w:rPr>
  </w:style>
  <w:style w:type="paragraph" w:styleId="Heading2">
    <w:name w:val="heading 2"/>
    <w:basedOn w:val="Normal"/>
    <w:next w:val="Normal"/>
    <w:pPr>
      <w:keepNext w:val="1"/>
      <w:keepLines w:val="1"/>
      <w:spacing w:before="40" w:lineRule="auto"/>
    </w:pPr>
    <w:rPr>
      <w:sz w:val="28"/>
      <w:szCs w:val="28"/>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iCs w:val="1"/>
      <w:color w:val="595959"/>
    </w:rPr>
  </w:style>
  <w:style w:type="paragraph" w:styleId="Title">
    <w:name w:val="Title"/>
    <w:basedOn w:val="Normal"/>
    <w:next w:val="Normal"/>
    <w:pPr/>
    <w:rPr>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6C3B64"/>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6C3B64"/>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C3B64"/>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C2A11"/>
    <w:rPr>
      <w:rFonts w:ascii="Arial" w:hAnsi="Arial" w:cstheme="majorBidi" w:eastAsiaTheme="majorEastAsia"/>
      <w:b w:val="1"/>
      <w:i w:val="0"/>
      <w:sz w:val="32"/>
      <w:szCs w:val="32"/>
    </w:rPr>
  </w:style>
  <w:style w:type="paragraph" w:styleId="NoSpacing">
    <w:name w:val="No Spacing"/>
    <w:uiPriority w:val="1"/>
    <w:qFormat w:val="1"/>
    <w:rsid w:val="006C2A11"/>
    <w:rPr>
      <w:rFonts w:ascii="Arial" w:hAnsi="Arial"/>
      <w:sz w:val="22"/>
    </w:rPr>
  </w:style>
  <w:style w:type="character" w:styleId="Heading2Char" w:customStyle="1">
    <w:name w:val="Heading 2 Char"/>
    <w:basedOn w:val="DefaultParagraphFont"/>
    <w:link w:val="Heading2"/>
    <w:uiPriority w:val="9"/>
    <w:semiHidden w:val="1"/>
    <w:rsid w:val="006C2A11"/>
    <w:rPr>
      <w:rFonts w:ascii="Arial" w:hAnsi="Arial" w:cstheme="majorBidi" w:eastAsiaTheme="majorEastAsia"/>
      <w:b w:val="0"/>
      <w:i w:val="0"/>
      <w:sz w:val="28"/>
      <w:szCs w:val="26"/>
    </w:rPr>
  </w:style>
  <w:style w:type="character" w:styleId="TitleChar" w:customStyle="1">
    <w:name w:val="Title Char"/>
    <w:basedOn w:val="DefaultParagraphFont"/>
    <w:link w:val="Title"/>
    <w:uiPriority w:val="10"/>
    <w:rsid w:val="006C2A11"/>
    <w:rPr>
      <w:rFonts w:ascii="Arial" w:hAnsi="Arial" w:cstheme="majorBidi" w:eastAsiaTheme="majorEastAsia"/>
      <w:b w:val="0"/>
      <w:i w:val="0"/>
      <w:spacing w:val="-10"/>
      <w:kern w:val="28"/>
      <w:sz w:val="56"/>
      <w:szCs w:val="56"/>
    </w:rPr>
  </w:style>
  <w:style w:type="character" w:styleId="SubtitleChar" w:customStyle="1">
    <w:name w:val="Subtitle Char"/>
    <w:basedOn w:val="DefaultParagraphFont"/>
    <w:link w:val="Subtitle"/>
    <w:uiPriority w:val="11"/>
    <w:rsid w:val="006C2A11"/>
    <w:rPr>
      <w:rFonts w:ascii="Arial" w:hAnsi="Arial" w:eastAsiaTheme="minorEastAsia"/>
      <w:b w:val="0"/>
      <w:i w:val="0"/>
      <w:color w:val="5a5a5a" w:themeColor="text1" w:themeTint="0000A5"/>
      <w:spacing w:val="15"/>
      <w:sz w:val="22"/>
      <w:szCs w:val="22"/>
    </w:rPr>
  </w:style>
  <w:style w:type="paragraph" w:styleId="IntenseQuote">
    <w:name w:val="Intense Quote"/>
    <w:basedOn w:val="Normal"/>
    <w:next w:val="Normal"/>
    <w:link w:val="IntenseQuoteChar"/>
    <w:uiPriority w:val="30"/>
    <w:qFormat w:val="1"/>
    <w:rsid w:val="00E766E2"/>
    <w:pPr>
      <w:pBdr>
        <w:top w:color="156082" w:space="10" w:sz="4" w:themeColor="accent1" w:val="single"/>
        <w:bottom w:color="156082" w:space="10" w:sz="4" w:themeColor="accent1" w:val="single"/>
      </w:pBdr>
      <w:spacing w:after="360" w:before="360"/>
      <w:ind w:left="864" w:right="864"/>
      <w:jc w:val="center"/>
    </w:pPr>
    <w:rPr>
      <w:b w:val="1"/>
      <w:iCs w:val="1"/>
    </w:rPr>
  </w:style>
  <w:style w:type="paragraph" w:styleId="BodyText">
    <w:name w:val="Body Text"/>
    <w:basedOn w:val="Normal"/>
    <w:link w:val="BodyTextChar"/>
    <w:uiPriority w:val="99"/>
    <w:semiHidden w:val="1"/>
    <w:unhideWhenUsed w:val="1"/>
    <w:rsid w:val="00E766E2"/>
    <w:pPr>
      <w:spacing w:after="120"/>
    </w:pPr>
  </w:style>
  <w:style w:type="character" w:styleId="BodyTextChar" w:customStyle="1">
    <w:name w:val="Body Text Char"/>
    <w:basedOn w:val="DefaultParagraphFont"/>
    <w:link w:val="BodyText"/>
    <w:uiPriority w:val="99"/>
    <w:semiHidden w:val="1"/>
    <w:rsid w:val="00E766E2"/>
    <w:rPr>
      <w:rFonts w:ascii="Arial" w:hAnsi="Arial"/>
      <w:b w:val="0"/>
      <w:i w:val="0"/>
      <w:sz w:val="22"/>
    </w:rPr>
  </w:style>
  <w:style w:type="paragraph" w:styleId="ListParagraph">
    <w:name w:val="List Paragraph"/>
    <w:basedOn w:val="Normal"/>
    <w:uiPriority w:val="34"/>
    <w:qFormat w:val="1"/>
    <w:rsid w:val="00E766E2"/>
    <w:pPr>
      <w:ind w:left="720"/>
      <w:contextualSpacing w:val="1"/>
    </w:pPr>
  </w:style>
  <w:style w:type="character" w:styleId="IntenseQuoteChar" w:customStyle="1">
    <w:name w:val="Intense Quote Char"/>
    <w:basedOn w:val="DefaultParagraphFont"/>
    <w:link w:val="IntenseQuote"/>
    <w:uiPriority w:val="30"/>
    <w:rsid w:val="00E766E2"/>
    <w:rPr>
      <w:rFonts w:ascii="Arial" w:hAnsi="Arial"/>
      <w:b w:val="1"/>
      <w:i w:val="0"/>
      <w:iCs w:val="1"/>
      <w:sz w:val="22"/>
    </w:rPr>
  </w:style>
  <w:style w:type="character" w:styleId="Emphasis">
    <w:name w:val="Emphasis"/>
    <w:basedOn w:val="DefaultParagraphFont"/>
    <w:uiPriority w:val="20"/>
    <w:qFormat w:val="1"/>
    <w:rsid w:val="00E766E2"/>
    <w:rPr>
      <w:rFonts w:ascii="Arial" w:hAnsi="Arial"/>
      <w:b w:val="0"/>
      <w:i w:val="1"/>
      <w:iCs w:val="1"/>
      <w:sz w:val="22"/>
    </w:rPr>
  </w:style>
  <w:style w:type="character" w:styleId="Strong">
    <w:name w:val="Strong"/>
    <w:basedOn w:val="DefaultParagraphFont"/>
    <w:uiPriority w:val="22"/>
    <w:qFormat w:val="1"/>
    <w:rsid w:val="00E766E2"/>
    <w:rPr>
      <w:rFonts w:ascii="Arial" w:hAnsi="Arial"/>
      <w:b w:val="1"/>
      <w:bCs w:val="1"/>
      <w:i w:val="0"/>
      <w:sz w:val="22"/>
    </w:rPr>
  </w:style>
  <w:style w:type="character" w:styleId="SubtleReference">
    <w:name w:val="Subtle Reference"/>
    <w:basedOn w:val="DefaultParagraphFont"/>
    <w:uiPriority w:val="31"/>
    <w:qFormat w:val="1"/>
    <w:rsid w:val="00E766E2"/>
    <w:rPr>
      <w:rFonts w:ascii="Arial" w:hAnsi="Arial"/>
      <w:b w:val="0"/>
      <w:i w:val="0"/>
      <w:caps w:val="1"/>
      <w:smallCaps w:val="0"/>
      <w:color w:val="5a5a5a" w:themeColor="text1" w:themeTint="0000A5"/>
      <w:sz w:val="20"/>
    </w:rPr>
  </w:style>
  <w:style w:type="character" w:styleId="IntenseReference">
    <w:name w:val="Intense Reference"/>
    <w:basedOn w:val="DefaultParagraphFont"/>
    <w:uiPriority w:val="32"/>
    <w:qFormat w:val="1"/>
    <w:rsid w:val="00E766E2"/>
    <w:rPr>
      <w:rFonts w:ascii="Arial" w:hAnsi="Arial"/>
      <w:b w:val="1"/>
      <w:bCs w:val="1"/>
      <w:i w:val="0"/>
      <w:caps w:val="1"/>
      <w:smallCaps w:val="0"/>
      <w:color w:val="auto"/>
      <w:spacing w:val="5"/>
      <w:sz w:val="20"/>
    </w:rPr>
  </w:style>
  <w:style w:type="character" w:styleId="Heading3Char" w:customStyle="1">
    <w:name w:val="Heading 3 Char"/>
    <w:basedOn w:val="DefaultParagraphFont"/>
    <w:link w:val="Heading3"/>
    <w:uiPriority w:val="9"/>
    <w:semiHidden w:val="1"/>
    <w:rsid w:val="006C3B6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C3B64"/>
    <w:rPr>
      <w:rFonts w:cstheme="majorBidi" w:eastAsiaTheme="majorEastAsia"/>
      <w:i w:val="1"/>
      <w:iCs w:val="1"/>
      <w:color w:val="0f4761" w:themeColor="accent1" w:themeShade="0000BF"/>
      <w:sz w:val="22"/>
    </w:rPr>
  </w:style>
  <w:style w:type="character" w:styleId="Heading5Char" w:customStyle="1">
    <w:name w:val="Heading 5 Char"/>
    <w:basedOn w:val="DefaultParagraphFont"/>
    <w:link w:val="Heading5"/>
    <w:uiPriority w:val="9"/>
    <w:semiHidden w:val="1"/>
    <w:rsid w:val="006C3B64"/>
    <w:rPr>
      <w:rFonts w:cstheme="majorBidi" w:eastAsiaTheme="majorEastAsia"/>
      <w:color w:val="0f4761" w:themeColor="accent1" w:themeShade="0000BF"/>
      <w:sz w:val="22"/>
    </w:rPr>
  </w:style>
  <w:style w:type="character" w:styleId="Heading6Char" w:customStyle="1">
    <w:name w:val="Heading 6 Char"/>
    <w:basedOn w:val="DefaultParagraphFont"/>
    <w:link w:val="Heading6"/>
    <w:uiPriority w:val="9"/>
    <w:semiHidden w:val="1"/>
    <w:rsid w:val="006C3B64"/>
    <w:rPr>
      <w:rFonts w:cstheme="majorBidi" w:eastAsiaTheme="majorEastAsia"/>
      <w:i w:val="1"/>
      <w:iCs w:val="1"/>
      <w:color w:val="595959" w:themeColor="text1" w:themeTint="0000A6"/>
      <w:sz w:val="22"/>
    </w:rPr>
  </w:style>
  <w:style w:type="character" w:styleId="Heading7Char" w:customStyle="1">
    <w:name w:val="Heading 7 Char"/>
    <w:basedOn w:val="DefaultParagraphFont"/>
    <w:link w:val="Heading7"/>
    <w:uiPriority w:val="9"/>
    <w:semiHidden w:val="1"/>
    <w:rsid w:val="006C3B64"/>
    <w:rPr>
      <w:rFonts w:cstheme="majorBidi" w:eastAsiaTheme="majorEastAsia"/>
      <w:color w:val="595959" w:themeColor="text1" w:themeTint="0000A6"/>
      <w:sz w:val="22"/>
    </w:rPr>
  </w:style>
  <w:style w:type="character" w:styleId="Heading8Char" w:customStyle="1">
    <w:name w:val="Heading 8 Char"/>
    <w:basedOn w:val="DefaultParagraphFont"/>
    <w:link w:val="Heading8"/>
    <w:uiPriority w:val="9"/>
    <w:semiHidden w:val="1"/>
    <w:rsid w:val="006C3B64"/>
    <w:rPr>
      <w:rFonts w:cstheme="majorBidi" w:eastAsiaTheme="majorEastAsia"/>
      <w:i w:val="1"/>
      <w:iCs w:val="1"/>
      <w:color w:val="272727" w:themeColor="text1" w:themeTint="0000D8"/>
      <w:sz w:val="22"/>
    </w:rPr>
  </w:style>
  <w:style w:type="character" w:styleId="Heading9Char" w:customStyle="1">
    <w:name w:val="Heading 9 Char"/>
    <w:basedOn w:val="DefaultParagraphFont"/>
    <w:link w:val="Heading9"/>
    <w:uiPriority w:val="9"/>
    <w:semiHidden w:val="1"/>
    <w:rsid w:val="006C3B64"/>
    <w:rPr>
      <w:rFonts w:cstheme="majorBidi" w:eastAsiaTheme="majorEastAsia"/>
      <w:color w:val="272727" w:themeColor="text1" w:themeTint="0000D8"/>
      <w:sz w:val="22"/>
    </w:rPr>
  </w:style>
  <w:style w:type="paragraph" w:styleId="Quote">
    <w:name w:val="Quote"/>
    <w:basedOn w:val="Normal"/>
    <w:next w:val="Normal"/>
    <w:link w:val="QuoteChar"/>
    <w:uiPriority w:val="29"/>
    <w:qFormat w:val="1"/>
    <w:rsid w:val="006C3B64"/>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6C3B64"/>
    <w:rPr>
      <w:rFonts w:ascii="Arial" w:hAnsi="Arial"/>
      <w:i w:val="1"/>
      <w:iCs w:val="1"/>
      <w:color w:val="404040" w:themeColor="text1" w:themeTint="0000BF"/>
      <w:sz w:val="22"/>
    </w:rPr>
  </w:style>
  <w:style w:type="character" w:styleId="IntenseEmphasis">
    <w:name w:val="Intense Emphasis"/>
    <w:basedOn w:val="DefaultParagraphFont"/>
    <w:uiPriority w:val="21"/>
    <w:qFormat w:val="1"/>
    <w:rsid w:val="006C3B64"/>
    <w:rPr>
      <w:i w:val="1"/>
      <w:iCs w:val="1"/>
      <w:color w:val="0f4761" w:themeColor="accent1" w:themeShade="0000BF"/>
    </w:rPr>
  </w:style>
  <w:style w:type="paragraph" w:styleId="Subtitle">
    <w:name w:val="Subtitle"/>
    <w:basedOn w:val="Normal"/>
    <w:next w:val="Normal"/>
    <w:pPr>
      <w:spacing w:after="160"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Eo6HJLzq4XAmFINYgjyVTo2qA==">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2025-03-25T16:23:00Z</dcterms:created>
  <dc:creator>Katie Schneer</dc:creator>
</cp:coreProperties>
</file>